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312D" w14:textId="77777777" w:rsidR="003974D0" w:rsidRDefault="003974D0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ectPr w:rsidR="003974D0" w:rsidSect="006958D1">
          <w:footerReference w:type="default" r:id="rId9"/>
          <w:pgSz w:w="11906" w:h="16838"/>
          <w:pgMar w:top="709" w:right="567" w:bottom="1134" w:left="1418" w:header="709" w:footer="709" w:gutter="0"/>
          <w:cols w:space="708"/>
          <w:formProt w:val="0"/>
          <w:docGrid w:linePitch="360"/>
        </w:sectPr>
      </w:pPr>
    </w:p>
    <w:p w14:paraId="5BA87133" w14:textId="274E4FC0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1DD1A81E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6614C77F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№3 від </w:t>
      </w:r>
      <w:r w:rsidR="002A1AC5"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.06.2019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 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p w14:paraId="6D201C00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456"/>
        <w:gridCol w:w="2913"/>
        <w:gridCol w:w="6768"/>
      </w:tblGrid>
      <w:tr w:rsidR="0079583C" w:rsidRPr="00954406" w14:paraId="4D6C7442" w14:textId="77777777" w:rsidTr="00B80F77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768" w:type="dxa"/>
          </w:tcPr>
          <w:p w14:paraId="677EF9F2" w14:textId="0238E190" w:rsidR="0079583C" w:rsidRPr="00954406" w:rsidRDefault="0079583C" w:rsidP="00A61623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bookmarkStart w:id="0" w:name="_Hlk531709723"/>
            <w:r w:rsidRPr="00954406">
              <w:t>Ціна на електричну енергію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>
              <w:t>тановою НКРЕКП від 05.10.2018</w:t>
            </w:r>
            <w:r w:rsidR="00954406">
              <w:br/>
              <w:t xml:space="preserve">№ </w:t>
            </w:r>
            <w:r w:rsidRPr="00954406">
              <w:t>1179</w:t>
            </w:r>
            <w:r w:rsidR="00B0480B" w:rsidRPr="00954406">
              <w:t xml:space="preserve"> (далі – Порядок)</w:t>
            </w:r>
            <w:r w:rsidRPr="00954406">
              <w:t>.</w:t>
            </w:r>
          </w:p>
          <w:p w14:paraId="0D479A66" w14:textId="5FAB1247" w:rsidR="00D90F21" w:rsidRPr="00954406" w:rsidRDefault="00021162" w:rsidP="00A61623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</w:pPr>
            <w:r w:rsidRPr="00954406">
              <w:t xml:space="preserve"> </w:t>
            </w:r>
            <w:r w:rsidR="002A1AC5" w:rsidRPr="00954406">
              <w:t xml:space="preserve">Постачальник оприлюднює ціни на електричну енергію </w:t>
            </w:r>
            <w:r w:rsidR="00B0480B" w:rsidRPr="00954406">
              <w:t>на веб</w:t>
            </w:r>
            <w:r w:rsidR="00A61623" w:rsidRPr="00954406">
              <w:t>-</w:t>
            </w:r>
            <w:r w:rsidR="00B0480B" w:rsidRPr="00954406">
              <w:t xml:space="preserve">сайті ДПЗД «Укрінтеренерго» </w:t>
            </w:r>
            <w:r w:rsidR="00D90F21" w:rsidRPr="00954406">
              <w:t>(</w:t>
            </w:r>
            <w:hyperlink r:id="rId10" w:history="1">
              <w:r w:rsidR="00D90F21" w:rsidRPr="00954406">
                <w:rPr>
                  <w:rStyle w:val="ae"/>
                </w:rPr>
                <w:t>www.uie.kiev.ua</w:t>
              </w:r>
            </w:hyperlink>
            <w:r w:rsidR="00D90F21" w:rsidRPr="00954406">
              <w:t xml:space="preserve">) </w:t>
            </w:r>
            <w:r w:rsidR="00B0480B" w:rsidRPr="00954406">
              <w:t xml:space="preserve">не пізніше ніж за 1 день до їх застосування (пункт 1.6. Порядку) за посиланням: </w:t>
            </w:r>
          </w:p>
          <w:p w14:paraId="49185BF8" w14:textId="77777777" w:rsidR="00EB2ADC" w:rsidRPr="00954406" w:rsidRDefault="00B0480B" w:rsidP="00EB2ADC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Головна / Постачальник «останньої надії» / </w:t>
            </w:r>
            <w:hyperlink r:id="rId11" w:tgtFrame="_blank" w:history="1">
              <w:r w:rsidRPr="0095440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Ціни, за якими здійснюється постачання електроенергії споживачам постачальником останньої надії</w:t>
              </w:r>
            </w:hyperlink>
          </w:p>
          <w:p w14:paraId="468D09B7" w14:textId="1316759F" w:rsidR="00EB2ADC" w:rsidRPr="00954406" w:rsidRDefault="00EB2ADC" w:rsidP="00A61623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954406">
              <w:t>Постачальник оприлюднює порядок формування ціни на електричну енергію на веб</w:t>
            </w:r>
            <w:r w:rsidR="00A61623" w:rsidRPr="00954406">
              <w:t>-</w:t>
            </w:r>
            <w:r w:rsidRPr="00954406">
              <w:t>сайті ДПЗД «Укрінтеренерго» (</w:t>
            </w:r>
            <w:hyperlink r:id="rId12" w:history="1">
              <w:r w:rsidRPr="00954406">
                <w:rPr>
                  <w:rStyle w:val="ae"/>
                </w:rPr>
                <w:t>www.uie.kiev.ua</w:t>
              </w:r>
            </w:hyperlink>
            <w:r w:rsidRPr="00954406">
              <w:t xml:space="preserve">) за посиланням: </w:t>
            </w:r>
          </w:p>
          <w:p w14:paraId="0EFAFA99" w14:textId="32F949BF" w:rsidR="00041EE6" w:rsidRPr="00954406" w:rsidRDefault="00EB2A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Головна / Постачальник «останньої надії» / Порядок формування </w:t>
            </w:r>
            <w:hyperlink r:id="rId13" w:tgtFrame="_blank" w:history="1">
              <w:r w:rsidRPr="0095440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ціни, за якою здійснюється постачання електроенергії споживачам постачальником останньої надії</w:t>
              </w:r>
            </w:hyperlink>
            <w:bookmarkEnd w:id="0"/>
          </w:p>
        </w:tc>
      </w:tr>
      <w:tr w:rsidR="0079583C" w:rsidRPr="00954406" w14:paraId="38D7AC65" w14:textId="77777777" w:rsidTr="00B80F77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</w:tcPr>
          <w:p w14:paraId="388494E7" w14:textId="61664BC5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768" w:type="dxa"/>
          </w:tcPr>
          <w:p w14:paraId="3396BCD9" w14:textId="2C75A06E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B80F77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954406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768" w:type="dxa"/>
          </w:tcPr>
          <w:p w14:paraId="3205329C" w14:textId="379869F6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B80F77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Спосіб (порядок) та строки оплати за 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постачання електричної енергії постачальником «останньої надії»</w:t>
            </w:r>
          </w:p>
        </w:tc>
        <w:tc>
          <w:tcPr>
            <w:tcW w:w="6768" w:type="dxa"/>
          </w:tcPr>
          <w:p w14:paraId="066B805B" w14:textId="4BD8DAF1" w:rsidR="00D90F21" w:rsidRPr="00954406" w:rsidRDefault="00223ADC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сплачує 100% від орієнтовної вартості прогнозованого обсягу споживання електричної енергії за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розрахунковий період протягом 5 банківських (робочих) днів з моменту отримання Споживачем рахунку.</w:t>
            </w:r>
          </w:p>
          <w:p w14:paraId="44A31456" w14:textId="6D25DF93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тримання рахунку Споживач </w:t>
            </w:r>
            <w:r w:rsidR="00D22674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зобов’язується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здійснити 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самостійно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рахунку)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поточний рахунок Постачальника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зазначений у Договорі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ніж за 1 банківський (робочий) день до початку розрахункового періоду,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виходячи з прогнозованого обсягу споживання електричної енергії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розрахунково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діючої у розрахунковому періоді ціни на електричну енергію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Ця норма не застосовується до акцептування умов Договору, порядок якого визначений пунктом 7.1. </w:t>
            </w:r>
            <w:r w:rsidR="00E71B7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даної к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омерційної пропозиції. </w:t>
            </w:r>
          </w:p>
          <w:p w14:paraId="3F5010D1" w14:textId="3B95D839" w:rsidR="00435778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Орієнтовна вартість розраховується шляхом множення прогнозованого обсягу споживання електричної енергії на ціну, за якою здійснюється постачання електричної енергії Постачальником.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Прогнозований обсяг споживання електричної енергії визначається на підставі даних, отриманих Постачальником від Оператора систем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розподілу (передачі) (далі - ОС).</w:t>
            </w:r>
          </w:p>
          <w:p w14:paraId="795651D8" w14:textId="250E4CE3" w:rsidR="00A615E6" w:rsidRPr="00954406" w:rsidRDefault="00A615E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Остаточний розрахунок за спожиту електричну енергію в розрахунковому періоді здійснюється Споживачем на підставі виставленого Постачальником рахунку до 14-го (включно) числа місяця, наступного за розрахунковим, розмір якого визначається як різниця між вартістю купованої Споживачем електричної енергії, зазначеної в Акті купівлі-продажу, та сумарною оплатою Споживачем за розрахунковий період з урахуванням ПДВ.</w:t>
            </w:r>
          </w:p>
          <w:p w14:paraId="0F42D377" w14:textId="7E94DF77" w:rsidR="004B4019" w:rsidRPr="00954406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615E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 особистим врученням (нарочним) або із застосуванням послуг пошти на адресу Споживача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 та/або на адресу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ОС Постачальнику.</w:t>
            </w:r>
          </w:p>
          <w:p w14:paraId="707B6E8C" w14:textId="34B7349C" w:rsidR="004B4019" w:rsidRPr="008729BD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Датою отримання </w:t>
            </w:r>
            <w:r w:rsidR="00A61623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вважатися дата їх особистого вручення, що підтверджується підписом одержувача</w:t>
            </w:r>
            <w:r w:rsidR="000F4E00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кореспонденції, або третій календарний день від дати отримання поштовим відділенням зв’язку, в якому обслуговується одержувач (у разі направлення поштою рекомендованим </w:t>
            </w:r>
            <w:r w:rsidR="00A12988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цінним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листом).</w:t>
            </w:r>
          </w:p>
          <w:p w14:paraId="37A60CA7" w14:textId="0156E399" w:rsidR="000F4E00" w:rsidRPr="00954406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направлення рахунків електронно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 або із застосуванням інших засобів електронного зв’язку, 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атою отримання таких рахунків буде вважатися дата відправлення Постачальником відповідного електронного повідомлення (лист, фак</w:t>
            </w:r>
            <w:r w:rsidR="00A1298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інше).</w:t>
            </w:r>
          </w:p>
          <w:p w14:paraId="4CED77A2" w14:textId="568B276B" w:rsidR="00F85A72" w:rsidRPr="00954406" w:rsidRDefault="00223ADC" w:rsidP="00A45B7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Споживачем, отриманих від ОС.</w:t>
            </w:r>
          </w:p>
          <w:p w14:paraId="21BF23F0" w14:textId="3C315DEF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завершення розрахункового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Акту купівлі-продажу в триденний термін повертається на поштову адресу Постачальника. </w:t>
            </w:r>
          </w:p>
          <w:p w14:paraId="60215BBC" w14:textId="736A021C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торони 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1672A3E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усунення розбіжностей Сторони керуються даними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купівлі-продажу, з подальшим коригуванням даних після врегулювання розбіжностей.</w:t>
            </w:r>
          </w:p>
          <w:p w14:paraId="003A2067" w14:textId="294DB90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2AAF620D" w14:textId="75C05C46" w:rsidR="00F85A72" w:rsidRPr="008729BD" w:rsidRDefault="00F85A7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неповернення 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дженого Споживачем Акту купівлі-продажу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 має право застосувати штрафні санкції у вигляді штрафу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розмір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2000,00 (дві тисячі) гр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кож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факт порушення.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зобов’язаний сплатити такий штраф протягом 5 банківських (робочих) днів з моменту отримання рахунку.</w:t>
            </w:r>
          </w:p>
          <w:p w14:paraId="50F9C285" w14:textId="4B081BEA" w:rsidR="00435778" w:rsidRPr="00954406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09A60DFF" w14:textId="77777777" w:rsidR="00A45B72" w:rsidRPr="00954406" w:rsidRDefault="00B54621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здійснюється на поточний рахунок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спеціальним режимом використання Постачальника, зазначений у Договорі або р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ахунку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BA483A" w14:textId="1123B4E8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платежу номер, дату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 та період за який здійснюється оплата.</w:t>
            </w:r>
          </w:p>
          <w:p w14:paraId="1471C4D2" w14:textId="676428F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B80F77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768" w:type="dxa"/>
          </w:tcPr>
          <w:p w14:paraId="24D8295A" w14:textId="19BEFD15" w:rsidR="0079583C" w:rsidRPr="00954406" w:rsidRDefault="00DC016B" w:rsidP="00A45B7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здійснює плату за послугу з розподілу електричної енергії через Постачальника.</w:t>
            </w:r>
          </w:p>
        </w:tc>
      </w:tr>
      <w:tr w:rsidR="0079583C" w:rsidRPr="00954406" w14:paraId="0E66AF9E" w14:textId="77777777" w:rsidTr="00B80F77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768" w:type="dxa"/>
          </w:tcPr>
          <w:p w14:paraId="65D3EE37" w14:textId="4E259A5A" w:rsidR="0079583C" w:rsidRPr="00954406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</w:tc>
      </w:tr>
      <w:tr w:rsidR="0079583C" w:rsidRPr="00954406" w14:paraId="01DF0254" w14:textId="77777777" w:rsidTr="00B80F77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14:paraId="0AC87D7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768" w:type="dxa"/>
          </w:tcPr>
          <w:p w14:paraId="48D1C0DE" w14:textId="5EB71EB1" w:rsidR="00DC016B" w:rsidRPr="008729BD" w:rsidRDefault="00DC016B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ED00DA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Оплачений Споживачем рахунок за електричну енергію, наданий Постачальником, є прийняттям (акцептуванням) умов цього Договору з боку Споживача.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B7F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С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поживач не укладе (не акцептує) договір з </w:t>
            </w:r>
            <w:r w:rsidR="004D6C3D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остачальником, електроживлення його об’єкта (об’єктів) має бути припинено </w:t>
            </w:r>
            <w:r w:rsidR="009C3D8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зверненням </w:t>
            </w:r>
            <w:r w:rsidR="009C3D8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815C26" w14:textId="30C53703" w:rsidR="000131AD" w:rsidRPr="00954406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При акцептуванні умов Договору 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>Споживач зобов’язаний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>, окрім сплати рахунку,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надати Постачальнику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рахунку:</w:t>
            </w:r>
          </w:p>
          <w:p w14:paraId="25B90090" w14:textId="77777777" w:rsidR="0077435B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документи:</w:t>
            </w:r>
          </w:p>
          <w:p w14:paraId="45575739" w14:textId="4065435F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954406">
              <w:rPr>
                <w:shd w:val="clear" w:color="auto" w:fill="FFFFFF"/>
              </w:rPr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>
              <w:rPr>
                <w:shd w:val="clear" w:color="auto" w:fill="FFFFFF"/>
              </w:rPr>
              <w:t>підпункт</w:t>
            </w:r>
            <w:r w:rsidRPr="00954406">
              <w:rPr>
                <w:shd w:val="clear" w:color="auto" w:fill="FFFFFF"/>
              </w:rPr>
              <w:t xml:space="preserve"> «г» п</w:t>
            </w:r>
            <w:r w:rsidR="00954406">
              <w:rPr>
                <w:shd w:val="clear" w:color="auto" w:fill="FFFFFF"/>
              </w:rPr>
              <w:t>ункту</w:t>
            </w:r>
            <w:r w:rsidRPr="00954406">
              <w:rPr>
                <w:shd w:val="clear" w:color="auto" w:fill="FFFFFF"/>
              </w:rPr>
              <w:t xml:space="preserve"> 201.1 ст</w:t>
            </w:r>
            <w:r w:rsidR="00954406">
              <w:rPr>
                <w:shd w:val="clear" w:color="auto" w:fill="FFFFFF"/>
              </w:rPr>
              <w:t>атті</w:t>
            </w:r>
            <w:r w:rsidRPr="00954406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>
              <w:rPr>
                <w:shd w:val="clear" w:color="auto" w:fill="FFFFFF"/>
              </w:rPr>
              <w:t xml:space="preserve">ункт </w:t>
            </w:r>
            <w:r w:rsidRPr="00954406">
              <w:rPr>
                <w:shd w:val="clear" w:color="auto" w:fill="FFFFFF"/>
              </w:rPr>
              <w:t>7 Порядку № 1307);</w:t>
            </w:r>
          </w:p>
          <w:p w14:paraId="7F7D597A" w14:textId="7440571F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954406">
              <w:t>інформацію з офіційною адресою електронної пошти</w:t>
            </w:r>
            <w:r w:rsidR="009C3D87">
              <w:br/>
            </w:r>
            <w:r w:rsidRPr="00954406">
              <w:t>(е-mail) та номером мобільного телефону (п</w:t>
            </w:r>
            <w:r w:rsidR="009C3D87">
              <w:t xml:space="preserve">ункт </w:t>
            </w:r>
            <w:r w:rsidRPr="00954406">
              <w:t>42 Постанови КМУ № 270 від 05.03.2009).</w:t>
            </w:r>
          </w:p>
          <w:p w14:paraId="06DE9EBA" w14:textId="0CD2297F" w:rsidR="00C60127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9544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954406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954406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954406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954406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47ACB39F" w:rsidR="001846B8" w:rsidRPr="00954406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74792" w14:textId="4C94A18E" w:rsidR="00F85A72" w:rsidRPr="00954406" w:rsidRDefault="00F16C9A" w:rsidP="008729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зобов’язаний дотримуватись </w:t>
            </w:r>
            <w:r w:rsidR="00B83D87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установленого договором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рафіку </w:t>
            </w:r>
            <w:r w:rsidR="00B83D87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споживання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E8D9934" w14:textId="580135FD" w:rsidR="00AD5ECB" w:rsidRPr="00954406" w:rsidRDefault="00AD5ECB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разі недотримання Споживачем (</w:t>
            </w:r>
            <w:r w:rsidR="001846B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відхилення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бік збільшення або зменшення</w:t>
            </w:r>
            <w:r w:rsidR="001846B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кожній годині за весь розрахунковий період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Графіку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споживання, 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Постачальник має право застосувати до Споживача штрафну санкцію у 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розмірі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подвійн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варт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і різниці між заявленим (прогнозованим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обсягом електричної енергії 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ідповідно до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Графіку споживання та фактично спожитим по кожній годині обсягом електричної енергії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>, а Споживач зобов’язаний сплатити Постачал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>нику штрафну санкцію на підставі виставленого рахунку.</w:t>
            </w:r>
          </w:p>
          <w:p w14:paraId="4FDD8FB5" w14:textId="3C2C51E5" w:rsidR="0079583C" w:rsidRPr="00954406" w:rsidRDefault="004E449C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B80F77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</w:tcPr>
          <w:p w14:paraId="4BB47C8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768" w:type="dxa"/>
          </w:tcPr>
          <w:p w14:paraId="66198C5F" w14:textId="007B396A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B80F77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768" w:type="dxa"/>
          </w:tcPr>
          <w:p w14:paraId="6AE387CD" w14:textId="2CB56134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B80F77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768" w:type="dxa"/>
          </w:tcPr>
          <w:p w14:paraId="0922ED52" w14:textId="6AF86F3F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B80F77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768" w:type="dxa"/>
          </w:tcPr>
          <w:p w14:paraId="2C17760C" w14:textId="5A0D84C7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B80F77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31714389"/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768" w:type="dxa"/>
          </w:tcPr>
          <w:p w14:paraId="7AC6D2B2" w14:textId="72DEF1B4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B80F77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768" w:type="dxa"/>
          </w:tcPr>
          <w:p w14:paraId="2BE838C9" w14:textId="4450B35B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домовились, що нарахування штрафних санкцій за прострочення виконання зобов'язання або неналежне виконання зобов'язання припиняється через один рік від дня, коли зобов'язання мало бути виконано. </w:t>
            </w:r>
          </w:p>
          <w:p w14:paraId="06D74E8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0B4E92CA" w:rsidR="00AD5ECB" w:rsidRPr="00954406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954406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Договором.</w:t>
            </w:r>
          </w:p>
          <w:p w14:paraId="67476437" w14:textId="73BA8EFA" w:rsidR="00A74B03" w:rsidRPr="00954406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13.3. За наявності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Постачальник має право застосувати до Споживача господарсько-правову санкцію з метою припинення або попередження повторення порушень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2B7EDECF" w:rsidR="00E16D97" w:rsidRPr="009C3D87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C3D87">
              <w:rPr>
                <w:color w:val="000000"/>
                <w:shd w:val="clear" w:color="auto" w:fill="FFFFFF"/>
              </w:rPr>
              <w:t xml:space="preserve">у вигляді утримання </w:t>
            </w:r>
            <w:r w:rsidR="002C4F5D" w:rsidRPr="009C3D87">
              <w:rPr>
                <w:color w:val="000000"/>
                <w:shd w:val="clear" w:color="auto" w:fill="FFFFFF"/>
              </w:rPr>
              <w:t xml:space="preserve">від </w:t>
            </w:r>
            <w:r w:rsidRPr="009C3D87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9C3D87">
              <w:rPr>
                <w:color w:val="000000"/>
                <w:shd w:val="clear" w:color="auto" w:fill="FFFFFF"/>
              </w:rPr>
              <w:t xml:space="preserve"> (відмова в постачанні електричної енергії)</w:t>
            </w:r>
            <w:r w:rsidRPr="009C3D87">
              <w:rPr>
                <w:color w:val="000000"/>
                <w:shd w:val="clear" w:color="auto" w:fill="FFFFFF"/>
              </w:rPr>
              <w:t xml:space="preserve"> </w:t>
            </w:r>
            <w:r w:rsidR="002C4F5D" w:rsidRPr="009C3D87">
              <w:rPr>
                <w:color w:val="000000"/>
                <w:shd w:val="clear" w:color="auto" w:fill="FFFFFF"/>
              </w:rPr>
              <w:t>Споживачу</w:t>
            </w:r>
            <w:r w:rsidRPr="009C3D87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9C3D87">
              <w:rPr>
                <w:color w:val="000000"/>
                <w:shd w:val="clear" w:color="auto" w:fill="FFFFFF"/>
              </w:rPr>
              <w:t>.</w:t>
            </w:r>
            <w:r w:rsidRPr="009C3D87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954406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954406">
              <w:rPr>
                <w:color w:val="000000"/>
                <w:shd w:val="clear" w:color="auto" w:fill="FFFFFF"/>
              </w:rPr>
              <w:t>С</w:t>
            </w:r>
            <w:r w:rsidRPr="00954406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0CECBD9B" w14:textId="7493470F" w:rsidR="00E16D97" w:rsidRPr="00954406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Постачальник повідомляє Споживача та ОС 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протягом одного </w:t>
            </w:r>
            <w:r w:rsidR="00E71B7F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банківського (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робочого</w:t>
            </w:r>
            <w:r w:rsidR="00E71B7F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EE24CC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дня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її застосування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="00594201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дпункт 6 пункт</w:t>
            </w:r>
            <w:r w:rsidR="00594201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3.1.6. ПРРЕЕ)</w:t>
            </w:r>
            <w:r w:rsidR="002C4F5D"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83C" w:rsidRPr="00417CFC" w14:paraId="3B8B426C" w14:textId="77777777" w:rsidTr="00B80F77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dxa"/>
          </w:tcPr>
          <w:p w14:paraId="33ABC1F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768" w:type="dxa"/>
          </w:tcPr>
          <w:p w14:paraId="5F3C2672" w14:textId="7971AA97" w:rsidR="0079583C" w:rsidRPr="00954406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домовились встановити в цьому Договорі збільшений строк позовної давності:</w:t>
            </w:r>
          </w:p>
          <w:p w14:paraId="219BD2D6" w14:textId="69D04A78" w:rsidR="0079583C" w:rsidRPr="008729BD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954406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8729BD">
              <w:rPr>
                <w:color w:val="000000"/>
                <w:shd w:val="clear" w:color="auto" w:fill="FFFFFF"/>
              </w:rPr>
              <w:t>ст</w:t>
            </w:r>
            <w:r w:rsidRPr="00954406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954406">
              <w:t>п’ять</w:t>
            </w:r>
            <w:r w:rsidRPr="00954406">
              <w:t xml:space="preserve"> рок</w:t>
            </w:r>
            <w:r w:rsidR="00EE24CC" w:rsidRPr="00954406">
              <w:t>ів</w:t>
            </w:r>
            <w:r w:rsidRPr="00954406">
              <w:t>.</w:t>
            </w:r>
          </w:p>
        </w:tc>
      </w:tr>
      <w:tr w:rsidR="0079583C" w:rsidRPr="00417CFC" w14:paraId="542D6AFC" w14:textId="77777777" w:rsidTr="00B80F77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1"/>
        <w:tc>
          <w:tcPr>
            <w:tcW w:w="2913" w:type="dxa"/>
          </w:tcPr>
          <w:p w14:paraId="0F3421E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768" w:type="dxa"/>
          </w:tcPr>
          <w:p w14:paraId="5E059520" w14:textId="224E3036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14" w:anchor="n28" w:history="1">
              <w:r w:rsidR="0079583C" w:rsidRPr="009544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ПРРЕЕ</w:t>
              </w:r>
            </w:hyperlink>
            <w:r w:rsidR="0079583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, за умови акцептування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Споживачем умов Договору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сплати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електричну енергію, надан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Постачальником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736D048" w14:textId="77777777" w:rsidR="0079583C" w:rsidRPr="008729BD" w:rsidRDefault="0079583C" w:rsidP="008729B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днів.</w:t>
            </w:r>
          </w:p>
          <w:p w14:paraId="2CE123F6" w14:textId="463DB3FB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за зверненням Постачальника.</w:t>
            </w:r>
          </w:p>
        </w:tc>
      </w:tr>
      <w:tr w:rsidR="0079583C" w:rsidRPr="00954406" w14:paraId="6838B843" w14:textId="77777777" w:rsidTr="00B80F77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768" w:type="dxa"/>
          </w:tcPr>
          <w:p w14:paraId="3D075211" w14:textId="0F1BF615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 Споживача, з яким укладено Договір, про зміни в умовах Договору, про закінчення терміну його дії, зміну цін, надсилання рахунків на оплату (із вкладенням сканованої копії рахунку у форматі PDF), попереджень про припинення постачання електричної енергії (із вкладенням сканованої копії попередження у форматі PDF) також може здійснюватися шляхом надсилання інформації/документів засобами електронного зв'язку на електронну адресу Споживача</w:t>
            </w:r>
            <w:r w:rsidR="0055424D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CE42DD7" w14:textId="482E75C8" w:rsidR="0079583C" w:rsidRPr="00954406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16.2.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 надсилання повідомлень і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 електронною поштою Сторони використовують наступні адреси електронної пошти:</w:t>
            </w:r>
          </w:p>
          <w:p w14:paraId="38BF7EE0" w14:textId="77777777" w:rsidR="0079583C" w:rsidRPr="008729BD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 xml:space="preserve">Постачальника – </w:t>
            </w:r>
            <w:hyperlink r:id="rId15" w:history="1">
              <w:r w:rsidRPr="008729BD">
                <w:rPr>
                  <w:color w:val="000000"/>
                  <w:shd w:val="clear" w:color="auto" w:fill="FFFFFF"/>
                </w:rPr>
                <w:t>pon@uie.kiev.ua</w:t>
              </w:r>
            </w:hyperlink>
            <w:r w:rsidRPr="008729BD">
              <w:rPr>
                <w:color w:val="000000"/>
                <w:shd w:val="clear" w:color="auto" w:fill="FFFFFF"/>
              </w:rPr>
              <w:t>;</w:t>
            </w:r>
          </w:p>
          <w:p w14:paraId="25733530" w14:textId="39694C14" w:rsidR="0079583C" w:rsidRPr="00954406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lang w:eastAsia="uk-UA"/>
              </w:rPr>
            </w:pPr>
            <w:r w:rsidRPr="008729BD">
              <w:rPr>
                <w:color w:val="000000"/>
                <w:shd w:val="clear" w:color="auto" w:fill="FFFFFF"/>
              </w:rPr>
              <w:t>Спо</w:t>
            </w:r>
            <w:r w:rsidRPr="00954406">
              <w:rPr>
                <w:lang w:eastAsia="uk-UA"/>
              </w:rPr>
              <w:t>живача – зазначена на веб-сайті Споживача</w:t>
            </w:r>
            <w:r w:rsidR="006958D1" w:rsidRPr="00954406">
              <w:rPr>
                <w:lang w:eastAsia="uk-UA"/>
              </w:rPr>
              <w:t xml:space="preserve"> та/</w:t>
            </w:r>
            <w:r w:rsidRPr="00954406">
              <w:rPr>
                <w:lang w:eastAsia="uk-UA"/>
              </w:rPr>
              <w:t>або надана Постачальнику Споживачем у будь-який спосіб (</w:t>
            </w:r>
            <w:r w:rsidR="0055424D" w:rsidRPr="00954406">
              <w:rPr>
                <w:lang w:eastAsia="uk-UA"/>
              </w:rPr>
              <w:t xml:space="preserve">офіційним листом, </w:t>
            </w:r>
            <w:r w:rsidRPr="00954406">
              <w:rPr>
                <w:lang w:eastAsia="uk-UA"/>
              </w:rPr>
              <w:t>в довільній формі на адресу Постачальника, телефонограмою)</w:t>
            </w:r>
            <w:r w:rsidR="00B80F77" w:rsidRPr="00954406">
              <w:rPr>
                <w:lang w:eastAsia="uk-UA"/>
              </w:rPr>
              <w:t>,</w:t>
            </w:r>
            <w:r w:rsidR="006958D1" w:rsidRPr="00954406">
              <w:rPr>
                <w:lang w:eastAsia="uk-UA"/>
              </w:rPr>
              <w:t xml:space="preserve"> та/або </w:t>
            </w:r>
            <w:r w:rsidR="00B80F77" w:rsidRPr="00954406">
              <w:rPr>
                <w:lang w:eastAsia="uk-UA"/>
              </w:rPr>
              <w:t>надана Постачальнику Оператором систем</w:t>
            </w:r>
            <w:r w:rsidR="009C3D87">
              <w:rPr>
                <w:lang w:eastAsia="uk-UA"/>
              </w:rPr>
              <w:t>и</w:t>
            </w:r>
            <w:r w:rsidR="00B80F77" w:rsidRPr="00954406">
              <w:rPr>
                <w:lang w:eastAsia="uk-UA"/>
              </w:rPr>
              <w:t xml:space="preserve"> розподілу (передачі)</w:t>
            </w:r>
            <w:r w:rsidRPr="00954406">
              <w:rPr>
                <w:lang w:eastAsia="uk-UA"/>
              </w:rPr>
              <w:t>.</w:t>
            </w:r>
          </w:p>
          <w:p w14:paraId="4FCC35CC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Такі документи вважаються направленими однією Стороною та офіційно отриманими іншою Стороною без додаткового оформлення на паперовому носії.</w:t>
            </w: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8D7DA27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7032EBD6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698A0D73" w14:textId="77777777" w:rsidR="008729BD" w:rsidRPr="008729BD" w:rsidRDefault="008729BD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7821498" w14:textId="2D6ABE4A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Дана комерційна пропозиція є чинною з 01.07.2019.</w:t>
      </w:r>
    </w:p>
    <w:p w14:paraId="7312E3D6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A364D47" w14:textId="2DA8A21E" w:rsidR="00021162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6ECF16C6" w14:textId="77777777" w:rsidR="00887940" w:rsidRPr="008729BD" w:rsidRDefault="0088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9916533" w14:textId="77777777" w:rsidR="003974D0" w:rsidRDefault="0039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sectPr w:rsidR="003974D0" w:rsidSect="003974D0">
          <w:type w:val="continuous"/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14:paraId="7D5DB34C" w14:textId="3FA93635" w:rsidR="0079583C" w:rsidRPr="00954406" w:rsidRDefault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Місцезнаходження, платіжні реквізити та підписи Сторін</w:t>
      </w:r>
    </w:p>
    <w:p w14:paraId="0EB459BB" w14:textId="77777777" w:rsidR="0079583C" w:rsidRPr="00954406" w:rsidRDefault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040" w:type="dxa"/>
        <w:tblLayout w:type="fixed"/>
        <w:tblLook w:val="0000" w:firstRow="0" w:lastRow="0" w:firstColumn="0" w:lastColumn="0" w:noHBand="0" w:noVBand="0"/>
      </w:tblPr>
      <w:tblGrid>
        <w:gridCol w:w="4620"/>
        <w:gridCol w:w="236"/>
        <w:gridCol w:w="5184"/>
      </w:tblGrid>
      <w:tr w:rsidR="003974D0" w:rsidRPr="00954406" w14:paraId="5FDFB60B" w14:textId="77777777" w:rsidTr="003974D0">
        <w:trPr>
          <w:trHeight w:val="899"/>
        </w:trPr>
        <w:tc>
          <w:tcPr>
            <w:tcW w:w="4620" w:type="dxa"/>
          </w:tcPr>
          <w:p w14:paraId="37E31CCC" w14:textId="77777777" w:rsidR="003974D0" w:rsidRPr="00954406" w:rsidRDefault="003974D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5AE4CD52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Державне підприємство зовнішньоекономічної діяльності «Укрінтеренерго»</w:t>
            </w:r>
          </w:p>
          <w:p w14:paraId="16A5B296" w14:textId="77777777" w:rsidR="003974D0" w:rsidRPr="00954406" w:rsidRDefault="0039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ЕІС-код: 11XUIE---------M </w:t>
            </w:r>
          </w:p>
          <w:p w14:paraId="1A359640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  <w:p w14:paraId="14D1DE4F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04080, м. Київ, вул. Кирилівська ,85</w:t>
            </w:r>
          </w:p>
          <w:p w14:paraId="524A33FF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адреса:</w:t>
            </w:r>
          </w:p>
          <w:p w14:paraId="03B9996E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04080, м. Київ, вул. Кирилівська ,85</w:t>
            </w:r>
          </w:p>
          <w:p w14:paraId="023FB1A2" w14:textId="77777777" w:rsidR="003974D0" w:rsidRPr="00954406" w:rsidRDefault="0039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.: +38 044 206 51 26 </w:t>
            </w:r>
          </w:p>
          <w:p w14:paraId="608E4ED2" w14:textId="77777777" w:rsidR="003974D0" w:rsidRPr="00954406" w:rsidRDefault="0039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е-</w:t>
            </w:r>
            <w:proofErr w:type="spellStart"/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hyperlink r:id="rId16" w:history="1">
              <w:r w:rsidRPr="0095440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uk-UA"/>
                </w:rPr>
                <w:t>pon@uie.kiev.ua</w:t>
              </w:r>
            </w:hyperlink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4E72A642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сайту: www.uie.kiev.ua</w:t>
            </w:r>
          </w:p>
          <w:p w14:paraId="1F6105E6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19480600</w:t>
            </w:r>
          </w:p>
          <w:p w14:paraId="682C0CD0" w14:textId="77777777" w:rsidR="003974D0" w:rsidRPr="00954406" w:rsidRDefault="0039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ІПН: 194806026654 </w:t>
            </w:r>
          </w:p>
          <w:p w14:paraId="7CF4739B" w14:textId="55D70597" w:rsidR="003974D0" w:rsidRPr="00887940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/>
            <w:bookmarkEnd w:id="2"/>
          </w:p>
          <w:p w14:paraId="4903FEAA" w14:textId="210FA39E" w:rsidR="003974D0" w:rsidRPr="00887940" w:rsidRDefault="00397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п/р із спеціальним режимом використання № </w:t>
            </w:r>
            <w:r w:rsidRPr="0088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Pr="00887940">
              <w:rPr>
                <w:rFonts w:ascii="Times New Roman" w:hAnsi="Times New Roman" w:cs="Times New Roman"/>
                <w:b/>
                <w:sz w:val="24"/>
                <w:szCs w:val="24"/>
              </w:rPr>
              <w:t>523226690000026038300011485</w:t>
            </w:r>
          </w:p>
          <w:p w14:paraId="394D9540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8879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ТВБВ №10026/0104 філії-Головного управління по м. Києву та Київській області АТ "Ощадбанк</w:t>
            </w:r>
            <w:r w:rsidRPr="009544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  <w:p w14:paraId="1A8197E8" w14:textId="197A4E67" w:rsidR="003974D0" w:rsidRPr="003974D0" w:rsidRDefault="003974D0" w:rsidP="00E71B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Платник податку на прибуток на загальних умовах</w:t>
            </w:r>
          </w:p>
          <w:p w14:paraId="7EE18EAA" w14:textId="77777777" w:rsidR="003974D0" w:rsidRPr="003974D0" w:rsidRDefault="003974D0" w:rsidP="00E71B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C7698" w14:textId="77777777" w:rsidR="00417CFC" w:rsidRPr="005400F6" w:rsidRDefault="00417CFC" w:rsidP="00417CFC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  <w:bookmarkStart w:id="3" w:name="_Hlk536093355"/>
            <w:r w:rsidRPr="005400F6">
              <w:rPr>
                <w:rFonts w:ascii="Times New Roman" w:hAnsi="Times New Roman" w:cs="Times New Roman"/>
                <w:b/>
                <w:sz w:val="24"/>
              </w:rPr>
              <w:t xml:space="preserve">Заступник директора з </w:t>
            </w:r>
            <w:proofErr w:type="spellStart"/>
            <w:r w:rsidRPr="005400F6">
              <w:rPr>
                <w:rFonts w:ascii="Times New Roman" w:hAnsi="Times New Roman" w:cs="Times New Roman"/>
                <w:b/>
                <w:sz w:val="24"/>
              </w:rPr>
              <w:t>питань</w:t>
            </w:r>
            <w:proofErr w:type="spellEnd"/>
            <w:r w:rsidRPr="005400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400F6">
              <w:rPr>
                <w:rFonts w:ascii="Times New Roman" w:hAnsi="Times New Roman" w:cs="Times New Roman"/>
                <w:b/>
                <w:sz w:val="24"/>
              </w:rPr>
              <w:t>функціонування</w:t>
            </w:r>
            <w:proofErr w:type="spellEnd"/>
            <w:r w:rsidRPr="005400F6">
              <w:rPr>
                <w:rFonts w:ascii="Times New Roman" w:hAnsi="Times New Roman" w:cs="Times New Roman"/>
                <w:b/>
                <w:sz w:val="24"/>
              </w:rPr>
              <w:t xml:space="preserve"> ПОН</w:t>
            </w:r>
          </w:p>
          <w:p w14:paraId="462E6C53" w14:textId="77777777" w:rsidR="00417CFC" w:rsidRDefault="00417CFC" w:rsidP="00417CFC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59E342BE" w14:textId="77777777" w:rsidR="00417CFC" w:rsidRPr="00417CFC" w:rsidRDefault="00417CFC" w:rsidP="00417CFC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9F47512" w14:textId="7DFE9473" w:rsidR="003974D0" w:rsidRPr="00E63746" w:rsidRDefault="00417CFC" w:rsidP="00417CFC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</w:rPr>
            </w:pPr>
            <w:r w:rsidRPr="00417CFC">
              <w:rPr>
                <w:rFonts w:ascii="Times New Roman" w:hAnsi="Times New Roman" w:cs="Times New Roman"/>
                <w:sz w:val="24"/>
              </w:rPr>
              <w:t xml:space="preserve">___________________ </w:t>
            </w:r>
            <w:r w:rsidRPr="005400F6">
              <w:rPr>
                <w:rFonts w:ascii="Times New Roman" w:hAnsi="Times New Roman" w:cs="Times New Roman"/>
                <w:b/>
                <w:sz w:val="24"/>
              </w:rPr>
              <w:t>Мануйленко О.В.</w:t>
            </w:r>
          </w:p>
          <w:p w14:paraId="2A561423" w14:textId="1D8BD9A2" w:rsidR="003974D0" w:rsidRPr="00E63746" w:rsidRDefault="00417CFC" w:rsidP="0088794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417C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</w:t>
            </w:r>
            <w:proofErr w:type="spellStart"/>
            <w:proofErr w:type="gramStart"/>
            <w:r w:rsidRPr="0041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417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34F4121" w14:textId="77777777" w:rsidR="003974D0" w:rsidRPr="00E63746" w:rsidRDefault="003974D0" w:rsidP="0088794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</w:rPr>
            </w:pPr>
          </w:p>
          <w:bookmarkEnd w:id="3"/>
          <w:p w14:paraId="2D18C4F8" w14:textId="18F1475D" w:rsidR="003974D0" w:rsidRPr="00954406" w:rsidRDefault="003974D0" w:rsidP="003974D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</w:tcPr>
          <w:p w14:paraId="11995D34" w14:textId="77777777" w:rsidR="003974D0" w:rsidRPr="00954406" w:rsidRDefault="003974D0" w:rsidP="003974D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84" w:type="dxa"/>
          </w:tcPr>
          <w:p w14:paraId="2A491F82" w14:textId="7FE1B994" w:rsidR="003974D0" w:rsidRPr="00954406" w:rsidRDefault="003974D0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left="317" w:right="-104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СПОЖИВАЧ:</w:t>
            </w:r>
          </w:p>
          <w:p w14:paraId="1043122C" w14:textId="17AB6818" w:rsidR="003974D0" w:rsidRPr="00954406" w:rsidRDefault="003974D0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</w:t>
            </w:r>
          </w:p>
          <w:p w14:paraId="781CE92A" w14:textId="62E492D1" w:rsidR="003974D0" w:rsidRPr="00954406" w:rsidRDefault="003974D0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</w:t>
            </w:r>
          </w:p>
          <w:p w14:paraId="0829DF88" w14:textId="60ABF6AC" w:rsidR="003974D0" w:rsidRPr="00954406" w:rsidRDefault="003974D0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</w:t>
            </w:r>
          </w:p>
          <w:p w14:paraId="112CDC1B" w14:textId="30E33168" w:rsidR="003974D0" w:rsidRPr="00954406" w:rsidRDefault="003974D0" w:rsidP="00E6374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Місцезнаходження:___________________________________________________________________</w:t>
            </w:r>
          </w:p>
          <w:p w14:paraId="0104B9F9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Поштова адреса: </w:t>
            </w:r>
          </w:p>
          <w:p w14:paraId="56D5B4C9" w14:textId="77777777" w:rsidR="003974D0" w:rsidRPr="00954406" w:rsidRDefault="003974D0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</w:t>
            </w:r>
          </w:p>
          <w:p w14:paraId="3B5400C3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 +38 _________________________________</w:t>
            </w:r>
          </w:p>
          <w:p w14:paraId="20AE0F46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е-</w:t>
            </w:r>
            <w:proofErr w:type="spellStart"/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___________________________________</w:t>
            </w:r>
          </w:p>
          <w:p w14:paraId="3E986B88" w14:textId="6DEA2F59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ЄДРПОУ__________________________________</w:t>
            </w:r>
          </w:p>
          <w:p w14:paraId="786212D3" w14:textId="7C928CE6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ІПН:______________________________________</w:t>
            </w:r>
          </w:p>
          <w:p w14:paraId="6579215C" w14:textId="716782DD" w:rsidR="003974D0" w:rsidRPr="00954406" w:rsidRDefault="00E6374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="003974D0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14:paraId="7301B83C" w14:textId="2FD8C9DB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п/р №_____________________________________</w:t>
            </w:r>
          </w:p>
          <w:p w14:paraId="0E6E35A5" w14:textId="2412ECB2" w:rsidR="003974D0" w:rsidRPr="00954406" w:rsidRDefault="003974D0" w:rsidP="00E71B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в___________________________________________________________________________________</w:t>
            </w:r>
          </w:p>
          <w:p w14:paraId="7E84C97F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B1701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E55F5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4749E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A985B" w14:textId="77777777" w:rsid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B144AA1" w14:textId="77777777" w:rsidR="00E63746" w:rsidRDefault="00E63746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7FBD02" w14:textId="77777777" w:rsidR="00E63746" w:rsidRDefault="00E63746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382CA3E" w14:textId="77777777" w:rsidR="00E63746" w:rsidRPr="00E63746" w:rsidRDefault="00E63746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03B56D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2FEF4" w14:textId="77777777" w:rsidR="003974D0" w:rsidRPr="00954406" w:rsidRDefault="003974D0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_______________________</w:t>
            </w:r>
          </w:p>
          <w:p w14:paraId="0A6BAD30" w14:textId="6F7F2893" w:rsidR="003974D0" w:rsidRPr="00887940" w:rsidRDefault="003974D0" w:rsidP="0088794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</w:t>
            </w:r>
            <w:proofErr w:type="spellStart"/>
            <w:proofErr w:type="gramStart"/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09D85528" w14:textId="77777777" w:rsidR="0036674C" w:rsidRPr="00954406" w:rsidRDefault="0036674C" w:rsidP="008729BD">
      <w:pPr>
        <w:rPr>
          <w:sz w:val="28"/>
          <w:szCs w:val="28"/>
          <w:lang w:val="uk-UA"/>
        </w:rPr>
      </w:pPr>
    </w:p>
    <w:sectPr w:rsidR="0036674C" w:rsidRPr="00954406" w:rsidSect="003974D0">
      <w:type w:val="continuous"/>
      <w:pgSz w:w="11906" w:h="16838"/>
      <w:pgMar w:top="709" w:right="567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6EDC" w14:textId="77777777" w:rsidR="002664D3" w:rsidRDefault="002664D3">
      <w:pPr>
        <w:spacing w:after="0" w:line="240" w:lineRule="auto"/>
      </w:pPr>
      <w:r>
        <w:separator/>
      </w:r>
    </w:p>
  </w:endnote>
  <w:endnote w:type="continuationSeparator" w:id="0">
    <w:p w14:paraId="212A40E3" w14:textId="77777777" w:rsidR="002664D3" w:rsidRDefault="0026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5092"/>
      <w:docPartObj>
        <w:docPartGallery w:val="Page Numbers (Bottom of Page)"/>
        <w:docPartUnique/>
      </w:docPartObj>
    </w:sdtPr>
    <w:sdtEndPr/>
    <w:sdtContent>
      <w:p w14:paraId="18454218" w14:textId="77777777" w:rsidR="004E449C" w:rsidRDefault="004E44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F6" w:rsidRPr="005400F6">
          <w:rPr>
            <w:noProof/>
            <w:lang w:val="uk-UA"/>
          </w:rPr>
          <w:t>7</w:t>
        </w:r>
        <w:r>
          <w:fldChar w:fldCharType="end"/>
        </w:r>
      </w:p>
    </w:sdtContent>
  </w:sdt>
  <w:p w14:paraId="34055807" w14:textId="77777777" w:rsidR="004E449C" w:rsidRDefault="004E44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E5558" w14:textId="77777777" w:rsidR="002664D3" w:rsidRDefault="002664D3">
      <w:pPr>
        <w:spacing w:after="0" w:line="240" w:lineRule="auto"/>
      </w:pPr>
      <w:r>
        <w:separator/>
      </w:r>
    </w:p>
  </w:footnote>
  <w:footnote w:type="continuationSeparator" w:id="0">
    <w:p w14:paraId="483A5429" w14:textId="77777777" w:rsidR="002664D3" w:rsidRDefault="0026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i0P+m1FeqqjtVarBb7WI8fNzjWI=" w:salt="FlbxVsZXtGqiWVHvOgv0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C"/>
    <w:rsid w:val="000131AD"/>
    <w:rsid w:val="000207E4"/>
    <w:rsid w:val="00021162"/>
    <w:rsid w:val="00026586"/>
    <w:rsid w:val="0004074B"/>
    <w:rsid w:val="00041EE6"/>
    <w:rsid w:val="00056EA6"/>
    <w:rsid w:val="00077FAA"/>
    <w:rsid w:val="000C0ADA"/>
    <w:rsid w:val="000F4E00"/>
    <w:rsid w:val="0015545A"/>
    <w:rsid w:val="001846B8"/>
    <w:rsid w:val="001975F4"/>
    <w:rsid w:val="00221517"/>
    <w:rsid w:val="00223ADC"/>
    <w:rsid w:val="002261BB"/>
    <w:rsid w:val="0024088E"/>
    <w:rsid w:val="00256F73"/>
    <w:rsid w:val="002664D3"/>
    <w:rsid w:val="00277932"/>
    <w:rsid w:val="002A1AC5"/>
    <w:rsid w:val="002B0AC4"/>
    <w:rsid w:val="002C4F5D"/>
    <w:rsid w:val="002E124E"/>
    <w:rsid w:val="00355973"/>
    <w:rsid w:val="0036674C"/>
    <w:rsid w:val="003974D0"/>
    <w:rsid w:val="003D54C4"/>
    <w:rsid w:val="00417CFC"/>
    <w:rsid w:val="00435778"/>
    <w:rsid w:val="00464CDF"/>
    <w:rsid w:val="00482382"/>
    <w:rsid w:val="004B2A54"/>
    <w:rsid w:val="004B4019"/>
    <w:rsid w:val="004D6C3D"/>
    <w:rsid w:val="004E449C"/>
    <w:rsid w:val="004F3362"/>
    <w:rsid w:val="0050481F"/>
    <w:rsid w:val="00517A46"/>
    <w:rsid w:val="00525B51"/>
    <w:rsid w:val="005400F6"/>
    <w:rsid w:val="0055424D"/>
    <w:rsid w:val="00580590"/>
    <w:rsid w:val="00594201"/>
    <w:rsid w:val="006430CF"/>
    <w:rsid w:val="006958D1"/>
    <w:rsid w:val="006A2E38"/>
    <w:rsid w:val="006E71EA"/>
    <w:rsid w:val="00741BA6"/>
    <w:rsid w:val="0077435B"/>
    <w:rsid w:val="0079583C"/>
    <w:rsid w:val="008729BD"/>
    <w:rsid w:val="00887940"/>
    <w:rsid w:val="008A73E6"/>
    <w:rsid w:val="00915E19"/>
    <w:rsid w:val="00954406"/>
    <w:rsid w:val="00957EE2"/>
    <w:rsid w:val="00960CD8"/>
    <w:rsid w:val="0096669E"/>
    <w:rsid w:val="009719B9"/>
    <w:rsid w:val="009A0F6E"/>
    <w:rsid w:val="009C3D87"/>
    <w:rsid w:val="00A12988"/>
    <w:rsid w:val="00A4448B"/>
    <w:rsid w:val="00A45B72"/>
    <w:rsid w:val="00A57CA5"/>
    <w:rsid w:val="00A615E6"/>
    <w:rsid w:val="00A61623"/>
    <w:rsid w:val="00A74B03"/>
    <w:rsid w:val="00A91E0D"/>
    <w:rsid w:val="00AD5ECB"/>
    <w:rsid w:val="00B0480B"/>
    <w:rsid w:val="00B54621"/>
    <w:rsid w:val="00B779C2"/>
    <w:rsid w:val="00B80F77"/>
    <w:rsid w:val="00B83D87"/>
    <w:rsid w:val="00C60127"/>
    <w:rsid w:val="00C93362"/>
    <w:rsid w:val="00CB01D2"/>
    <w:rsid w:val="00D22674"/>
    <w:rsid w:val="00D5534E"/>
    <w:rsid w:val="00D64BAC"/>
    <w:rsid w:val="00D857A2"/>
    <w:rsid w:val="00D90F21"/>
    <w:rsid w:val="00DB10EE"/>
    <w:rsid w:val="00DC016B"/>
    <w:rsid w:val="00DC05D0"/>
    <w:rsid w:val="00DF0080"/>
    <w:rsid w:val="00E16D97"/>
    <w:rsid w:val="00E63746"/>
    <w:rsid w:val="00E71B7F"/>
    <w:rsid w:val="00E92E3D"/>
    <w:rsid w:val="00EB2ADC"/>
    <w:rsid w:val="00ED00DA"/>
    <w:rsid w:val="00EE24CC"/>
    <w:rsid w:val="00EE6F33"/>
    <w:rsid w:val="00F16C9A"/>
    <w:rsid w:val="00F85A7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ie.kiev.ua/wp-content/uploads/2018/12/2TSiny-PON-dlya-sajta-28.12.20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e.kie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n@uie.kie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ie.kiev.ua/wp-content/uploads/2018/12/2TSiny-PON-dlya-sajta-28.12.2018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n@uie.kiev.ua" TargetMode="External"/><Relationship Id="rId10" Type="http://schemas.openxmlformats.org/officeDocument/2006/relationships/hyperlink" Target="http://www.uie.kiev.u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akon.rada.gov.ua/laws/show/v0312874-18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8CD8-0F86-4952-8807-9619A441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2813</Words>
  <Characters>16037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Мария Курыщук</cp:lastModifiedBy>
  <cp:revision>3</cp:revision>
  <cp:lastPrinted>2019-06-10T12:02:00Z</cp:lastPrinted>
  <dcterms:created xsi:type="dcterms:W3CDTF">2020-12-24T12:50:00Z</dcterms:created>
  <dcterms:modified xsi:type="dcterms:W3CDTF">2020-12-24T12:51:00Z</dcterms:modified>
</cp:coreProperties>
</file>